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5180C" w14:paraId="084D2845" w14:textId="77777777">
        <w:tc>
          <w:tcPr>
            <w:tcW w:w="6379" w:type="dxa"/>
            <w:hideMark/>
          </w:tcPr>
          <w:p w14:paraId="17CBF4F1" w14:textId="77777777" w:rsidR="0025180C" w:rsidRDefault="0016475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 „DOBRI“ SPLIT                                                                                                    Kliška</w:t>
            </w:r>
            <w:r>
              <w:rPr>
                <w:rFonts w:ascii="Arial" w:hAnsi="Arial" w:cs="Arial"/>
              </w:rPr>
              <w:t xml:space="preserve"> 25, 21000 Split  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</w:rPr>
              <w:t>112-04/24-01/2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Arial" w:hAnsi="Arial" w:cs="Arial"/>
                <w:noProof/>
              </w:rPr>
              <w:t>2181-1-280-24-5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Split,  14. veljače 2024. godine  </w:t>
            </w:r>
          </w:p>
        </w:tc>
        <w:tc>
          <w:tcPr>
            <w:tcW w:w="2693" w:type="dxa"/>
            <w:hideMark/>
          </w:tcPr>
          <w:p w14:paraId="06806FC9" w14:textId="77777777" w:rsidR="0025180C" w:rsidRDefault="00164753">
            <w:pPr>
              <w:spacing w:after="160" w:line="25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E4D8461" wp14:editId="5EDC6DC7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EA607" w14:textId="77777777" w:rsidR="0025180C" w:rsidRDefault="0025180C">
      <w:pPr>
        <w:jc w:val="both"/>
        <w:rPr>
          <w:rFonts w:ascii="Arial" w:hAnsi="Arial" w:cs="Arial"/>
          <w:lang w:val="en-US"/>
        </w:rPr>
      </w:pPr>
    </w:p>
    <w:p w14:paraId="34040E8B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 temelju članka 107. stavka 9. Zakona o odgoju i obrazovanju u osnovnoj i srednjoj školi (Narodne novine broj 87/08, 86/09, 92/10, 105/10, 90/11, 16/12, 86/12, 94/13, 152/14, 7/17, 68/18, 98/19, 64/20, 151/22, 156/23) i članka 14. stavka 4. Pravilnika o postupku zapošljavanja te procjeni i vrednovanju kandidata za zapošljavanje u OŠ “Dobri”, Pravilnika o izmjenama i dopunama Pravilnika o postupku zapošljavanja te procjeni I vrednovanju kandidata za zapošljavanje, Povjerenstvo za procjenu i vrednovanje kan</w:t>
      </w:r>
      <w:r>
        <w:rPr>
          <w:rFonts w:ascii="Arial" w:hAnsi="Arial" w:cs="Arial"/>
          <w:lang w:val="en-US"/>
        </w:rPr>
        <w:t>didata za zapošljavanje ( u daljnjem tekstu: Povjerenstvo) donosi:</w:t>
      </w:r>
    </w:p>
    <w:p w14:paraId="1AAEC696" w14:textId="77777777" w:rsidR="0025180C" w:rsidRDefault="0025180C">
      <w:pPr>
        <w:jc w:val="both"/>
        <w:rPr>
          <w:rFonts w:ascii="Arial" w:hAnsi="Arial" w:cs="Arial"/>
          <w:lang w:val="en-US"/>
        </w:rPr>
      </w:pPr>
    </w:p>
    <w:p w14:paraId="3E052509" w14:textId="77777777" w:rsidR="0025180C" w:rsidRDefault="0016475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SADRŽAJ I NAČIN USMENE PROCJENE, PRAVNI I DRUGI IZVORI ZA PRIPREMANJE KANDIDATA ZA USMENU PROCJENU I VREDNOVANJE</w:t>
      </w:r>
    </w:p>
    <w:p w14:paraId="666A9B1D" w14:textId="77777777" w:rsidR="0025180C" w:rsidRDefault="0016475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I.</w:t>
      </w:r>
    </w:p>
    <w:p w14:paraId="22CDA75D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Usmena procjena kandidata prijavljenih na natječaj objavljen dana 12. veljače 2024. na mrežnoj stranici i oglasnoj ploči Škole te mrežnim stranicama i oglasnim pločama Hrvatskog zavoda za zapošljavanje za zasnivanje radnog odnosa na radnom mjestu učitelj/ica razredne nastave-jedan izvršitelj/ica na određeno puno radno vrijeme (40/40) vršit će se usmenom procjenom kandidata odnosno usmenim testiranjem i vrednovanjem kandidata iz područja poznavanja propisa koji se odnose na djelatnost osnovnog obrazovanja.</w:t>
      </w:r>
    </w:p>
    <w:p w14:paraId="469A6FFB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Kandidati su obvezni pristupiti usmenoj procjeni.</w:t>
      </w:r>
    </w:p>
    <w:p w14:paraId="2DC6B7D1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Ako kandidat ne pristupi usmenoj procjeni smatra se da je odustao od prijave na natječaj.</w:t>
      </w:r>
    </w:p>
    <w:p w14:paraId="3B869947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Kandidati/kinje su dužni ponijeti sa sobom odgovarajuću identifikacijsku ispravu (važeću osobnu iskaznicu, putovnicu ili vozačku dozvolu) na temelju koje se utvrđuje prije usmene procjene identitet kandidata/kinje.</w:t>
      </w:r>
    </w:p>
    <w:p w14:paraId="35B31628" w14:textId="77777777" w:rsidR="0025180C" w:rsidRDefault="0016475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>
        <w:rPr>
          <w:rFonts w:ascii="Arial" w:hAnsi="Arial" w:cs="Arial"/>
          <w:b/>
          <w:lang w:val="en-US"/>
        </w:rPr>
        <w:t>II.</w:t>
      </w:r>
    </w:p>
    <w:p w14:paraId="3265BC72" w14:textId="77777777" w:rsidR="0025180C" w:rsidRDefault="0016475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provest će se iz područja poznavanja i primjene propisa iz djelokruga rada i to iz sljedećih izvora:</w:t>
      </w:r>
    </w:p>
    <w:p w14:paraId="03FB38EF" w14:textId="77777777" w:rsidR="0025180C" w:rsidRDefault="00164753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Zakon o odgoju i obrazovanju u osnovnoj i srednjoj školi (NN 87/08, 86/09, 92/10, 105/10, 90/11, 16/12, 86/12, 94/13, 152/14, 7/17, 68/18, 98/19, 64/20, 151/22, 156/23)</w:t>
      </w:r>
    </w:p>
    <w:p w14:paraId="57C3E24B" w14:textId="77777777" w:rsidR="0025180C" w:rsidRDefault="00164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bCs/>
          <w:color w:val="000000"/>
          <w:lang w:eastAsia="hr-HR"/>
        </w:rPr>
        <w:t>Pravilnik o načinima, postupcima i elementima vrednovanja učenika u osnovnoj i srednjoj školi (NN 112/10, 82/19, 43/20, 100/21)</w:t>
      </w:r>
    </w:p>
    <w:p w14:paraId="10CD3D4D" w14:textId="77777777" w:rsidR="0025180C" w:rsidRDefault="00164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bCs/>
          <w:color w:val="000000"/>
          <w:lang w:eastAsia="hr-HR"/>
        </w:rPr>
        <w:t>Pravilnik o kriterijima za izricanje pedagoških mjera (NN 94/15, 3/17)</w:t>
      </w:r>
    </w:p>
    <w:p w14:paraId="2CB57596" w14:textId="77777777" w:rsidR="0025180C" w:rsidRDefault="00164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bCs/>
          <w:color w:val="000000"/>
          <w:lang w:eastAsia="hr-HR"/>
        </w:rPr>
        <w:t>Kurikulum nastavnih predmeta u razrednoj nastavi</w:t>
      </w:r>
    </w:p>
    <w:p w14:paraId="486CC153" w14:textId="77777777" w:rsidR="0025180C" w:rsidRDefault="00164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Kod usmene procjene svi članovi će postaviti po dva pitanja koja se vrednuju od svakog člana Povjerenstva  pojedinačno od 1 do 5 bodova i na kraju zbrajaju, tako da kandidat može ostvariti najviše 30 bodova. Svim kandidatima će se postavljati istovrsna pitanja.</w:t>
      </w:r>
    </w:p>
    <w:p w14:paraId="0F417216" w14:textId="77777777" w:rsidR="0025180C" w:rsidRDefault="0025180C">
      <w:pPr>
        <w:jc w:val="both"/>
        <w:rPr>
          <w:rFonts w:ascii="Arial" w:hAnsi="Arial" w:cs="Arial"/>
          <w:lang w:val="en-US"/>
        </w:rPr>
      </w:pPr>
    </w:p>
    <w:p w14:paraId="5CC25CCE" w14:textId="77777777" w:rsidR="0025180C" w:rsidRDefault="0016475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       III.</w:t>
      </w:r>
    </w:p>
    <w:p w14:paraId="276F2820" w14:textId="77777777" w:rsidR="0025180C" w:rsidRDefault="0016475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Poziv na procjenu odnosno testiranje bit će objavljen na mrežnoj stranici Škole i dostavljen svim kandidatima koji podnesu pravodobnu i potpunu prijavu te ispunjavaju uvjete natječaja, najkasnije 5 dana prije dana određenog za usmenu procjenu odnosno vrednovanje.</w:t>
      </w:r>
    </w:p>
    <w:p w14:paraId="6E630C91" w14:textId="77777777" w:rsidR="0025180C" w:rsidRDefault="0016475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</w:p>
    <w:p w14:paraId="68E618AD" w14:textId="77777777" w:rsidR="0025180C" w:rsidRDefault="0016475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Povjerenstvo za procjenu i vrednovanje kandidata</w:t>
      </w:r>
    </w:p>
    <w:sectPr w:rsidR="0025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multilevel"/>
    <w:tmpl w:val="1D84C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multilevel"/>
    <w:tmpl w:val="E1B22AB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multilevel"/>
    <w:tmpl w:val="D22EE0B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28339">
    <w:abstractNumId w:val="0"/>
  </w:num>
  <w:num w:numId="2" w16cid:durableId="1153596521">
    <w:abstractNumId w:val="1"/>
  </w:num>
  <w:num w:numId="3" w16cid:durableId="80531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0C"/>
    <w:rsid w:val="00164753"/>
    <w:rsid w:val="002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C6D"/>
  <w15:docId w15:val="{9A23EB9B-3511-47D0-9954-1DB4AB2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2022-02-23T12:33:00Z</cp:lastPrinted>
  <dcterms:created xsi:type="dcterms:W3CDTF">2024-02-15T12:10:00Z</dcterms:created>
  <dcterms:modified xsi:type="dcterms:W3CDTF">2024-02-15T12:10:00Z</dcterms:modified>
</cp:coreProperties>
</file>